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BE6" w:rsidRPr="008E7B54" w:rsidRDefault="00F446D4" w:rsidP="00F446D4">
      <w:pPr>
        <w:spacing w:after="0" w:line="240" w:lineRule="auto"/>
        <w:jc w:val="center"/>
        <w:rPr>
          <w:b/>
          <w:sz w:val="36"/>
          <w:szCs w:val="36"/>
        </w:rPr>
      </w:pPr>
      <w:r w:rsidRPr="008E7B54">
        <w:rPr>
          <w:b/>
          <w:sz w:val="36"/>
          <w:szCs w:val="36"/>
        </w:rPr>
        <w:t>Evaluation Game</w:t>
      </w:r>
      <w:r w:rsidR="000907B5">
        <w:rPr>
          <w:b/>
          <w:sz w:val="36"/>
          <w:szCs w:val="36"/>
        </w:rPr>
        <w:t xml:space="preserve"> Annotated Bibliography</w:t>
      </w:r>
    </w:p>
    <w:p w:rsidR="00F446D4" w:rsidRPr="008E7B54" w:rsidRDefault="00F446D4" w:rsidP="00F446D4">
      <w:pPr>
        <w:spacing w:after="0" w:line="240" w:lineRule="auto"/>
        <w:rPr>
          <w:b/>
          <w:sz w:val="32"/>
          <w:szCs w:val="32"/>
        </w:rPr>
      </w:pPr>
      <w:r w:rsidRPr="008E7B54">
        <w:rPr>
          <w:b/>
          <w:sz w:val="32"/>
          <w:szCs w:val="32"/>
        </w:rPr>
        <w:t>Rules</w:t>
      </w:r>
    </w:p>
    <w:p w:rsidR="00F446D4" w:rsidRPr="008E7B54" w:rsidRDefault="00B906EF" w:rsidP="00F446D4">
      <w:pPr>
        <w:pStyle w:val="ListParagraph"/>
        <w:numPr>
          <w:ilvl w:val="0"/>
          <w:numId w:val="1"/>
        </w:numPr>
        <w:spacing w:after="0" w:line="240" w:lineRule="auto"/>
        <w:rPr>
          <w:sz w:val="28"/>
          <w:szCs w:val="28"/>
        </w:rPr>
      </w:pPr>
      <w:r>
        <w:rPr>
          <w:sz w:val="28"/>
          <w:szCs w:val="28"/>
        </w:rPr>
        <w:t>Examine each source (citation, annotation and link to source below</w:t>
      </w:r>
      <w:r w:rsidR="00F446D4" w:rsidRPr="008E7B54">
        <w:rPr>
          <w:sz w:val="28"/>
          <w:szCs w:val="28"/>
        </w:rPr>
        <w:t>.</w:t>
      </w:r>
      <w:r>
        <w:rPr>
          <w:sz w:val="28"/>
          <w:szCs w:val="28"/>
        </w:rPr>
        <w:t>)</w:t>
      </w:r>
    </w:p>
    <w:p w:rsidR="00F446D4" w:rsidRPr="008E7B54" w:rsidRDefault="00B906EF" w:rsidP="00F446D4">
      <w:pPr>
        <w:pStyle w:val="ListParagraph"/>
        <w:numPr>
          <w:ilvl w:val="0"/>
          <w:numId w:val="1"/>
        </w:numPr>
        <w:spacing w:after="0" w:line="240" w:lineRule="auto"/>
        <w:rPr>
          <w:sz w:val="28"/>
          <w:szCs w:val="28"/>
        </w:rPr>
      </w:pPr>
      <w:r>
        <w:rPr>
          <w:sz w:val="28"/>
          <w:szCs w:val="28"/>
        </w:rPr>
        <w:t>Vote</w:t>
      </w:r>
      <w:r w:rsidR="00F446D4" w:rsidRPr="008E7B54">
        <w:rPr>
          <w:sz w:val="28"/>
          <w:szCs w:val="28"/>
        </w:rPr>
        <w:t xml:space="preserve"> each </w:t>
      </w:r>
      <w:r>
        <w:rPr>
          <w:sz w:val="28"/>
          <w:szCs w:val="28"/>
        </w:rPr>
        <w:t>source</w:t>
      </w:r>
      <w:r w:rsidR="00F446D4" w:rsidRPr="008E7B54">
        <w:rPr>
          <w:sz w:val="28"/>
          <w:szCs w:val="28"/>
        </w:rPr>
        <w:t xml:space="preserve"> in usefulness 1 (most useful) to 4 (least useful)</w:t>
      </w:r>
      <w:r w:rsidR="00E806DF">
        <w:rPr>
          <w:sz w:val="28"/>
          <w:szCs w:val="28"/>
        </w:rPr>
        <w:t>.  (Put number in basket representing source.)</w:t>
      </w:r>
    </w:p>
    <w:p w:rsidR="00F446D4" w:rsidRPr="008E7B54" w:rsidRDefault="00B906EF" w:rsidP="00F446D4">
      <w:pPr>
        <w:pStyle w:val="ListParagraph"/>
        <w:numPr>
          <w:ilvl w:val="0"/>
          <w:numId w:val="1"/>
        </w:numPr>
        <w:spacing w:after="0" w:line="240" w:lineRule="auto"/>
        <w:rPr>
          <w:sz w:val="28"/>
          <w:szCs w:val="28"/>
        </w:rPr>
      </w:pPr>
      <w:r>
        <w:rPr>
          <w:sz w:val="28"/>
          <w:szCs w:val="28"/>
        </w:rPr>
        <w:t>Be prepared to share your reasoning for your choice.</w:t>
      </w:r>
    </w:p>
    <w:p w:rsidR="00F446D4" w:rsidRPr="008E7B54" w:rsidRDefault="00B906EF" w:rsidP="00F446D4">
      <w:pPr>
        <w:pStyle w:val="ListParagraph"/>
        <w:numPr>
          <w:ilvl w:val="0"/>
          <w:numId w:val="1"/>
        </w:numPr>
        <w:spacing w:after="0" w:line="240" w:lineRule="auto"/>
        <w:rPr>
          <w:sz w:val="28"/>
          <w:szCs w:val="28"/>
        </w:rPr>
      </w:pPr>
      <w:r>
        <w:rPr>
          <w:sz w:val="28"/>
          <w:szCs w:val="28"/>
        </w:rPr>
        <w:t>Be prepared to i</w:t>
      </w:r>
      <w:r w:rsidR="00F446D4" w:rsidRPr="008E7B54">
        <w:rPr>
          <w:sz w:val="28"/>
          <w:szCs w:val="28"/>
        </w:rPr>
        <w:t>dentify most important criteria for ranking usefulness</w:t>
      </w:r>
    </w:p>
    <w:p w:rsidR="00F446D4" w:rsidRDefault="00F446D4" w:rsidP="00F446D4">
      <w:pPr>
        <w:spacing w:after="0" w:line="240" w:lineRule="auto"/>
        <w:rPr>
          <w:sz w:val="28"/>
          <w:szCs w:val="28"/>
        </w:rPr>
      </w:pPr>
    </w:p>
    <w:tbl>
      <w:tblPr>
        <w:tblStyle w:val="TableGrid"/>
        <w:tblW w:w="0" w:type="auto"/>
        <w:tblLook w:val="04A0" w:firstRow="1" w:lastRow="0" w:firstColumn="1" w:lastColumn="0" w:noHBand="0" w:noVBand="1"/>
      </w:tblPr>
      <w:tblGrid>
        <w:gridCol w:w="1007"/>
        <w:gridCol w:w="6277"/>
        <w:gridCol w:w="2245"/>
      </w:tblGrid>
      <w:tr w:rsidR="00D45F65" w:rsidRPr="00F446D4" w:rsidTr="00416A29">
        <w:tc>
          <w:tcPr>
            <w:tcW w:w="828" w:type="dxa"/>
          </w:tcPr>
          <w:p w:rsidR="00D45F65" w:rsidRPr="00F446D4" w:rsidRDefault="00D45F65" w:rsidP="00416A29">
            <w:pPr>
              <w:rPr>
                <w:b/>
                <w:sz w:val="28"/>
                <w:szCs w:val="28"/>
              </w:rPr>
            </w:pPr>
            <w:r w:rsidRPr="00F446D4">
              <w:rPr>
                <w:b/>
                <w:sz w:val="28"/>
                <w:szCs w:val="28"/>
              </w:rPr>
              <w:t>Source</w:t>
            </w:r>
          </w:p>
        </w:tc>
        <w:tc>
          <w:tcPr>
            <w:tcW w:w="6277" w:type="dxa"/>
          </w:tcPr>
          <w:p w:rsidR="00D45F65" w:rsidRPr="00F446D4" w:rsidRDefault="00D45F65" w:rsidP="00416A29">
            <w:pPr>
              <w:rPr>
                <w:b/>
                <w:sz w:val="28"/>
                <w:szCs w:val="28"/>
              </w:rPr>
            </w:pPr>
            <w:r w:rsidRPr="00F446D4">
              <w:rPr>
                <w:b/>
                <w:sz w:val="28"/>
                <w:szCs w:val="28"/>
              </w:rPr>
              <w:t>Citation</w:t>
            </w:r>
            <w:r>
              <w:rPr>
                <w:b/>
                <w:sz w:val="28"/>
                <w:szCs w:val="28"/>
              </w:rPr>
              <w:t xml:space="preserve"> Source Title</w:t>
            </w:r>
          </w:p>
        </w:tc>
        <w:tc>
          <w:tcPr>
            <w:tcW w:w="2245" w:type="dxa"/>
          </w:tcPr>
          <w:p w:rsidR="00D45F65" w:rsidRPr="00F446D4" w:rsidRDefault="00D45F65" w:rsidP="00416A29">
            <w:pPr>
              <w:rPr>
                <w:b/>
                <w:sz w:val="28"/>
                <w:szCs w:val="28"/>
              </w:rPr>
            </w:pPr>
            <w:r w:rsidRPr="00F446D4">
              <w:rPr>
                <w:b/>
                <w:sz w:val="28"/>
                <w:szCs w:val="28"/>
              </w:rPr>
              <w:t>Rank (1-4)</w:t>
            </w:r>
          </w:p>
        </w:tc>
      </w:tr>
      <w:tr w:rsidR="00D45F65" w:rsidRPr="00F446D4" w:rsidTr="00416A29">
        <w:tc>
          <w:tcPr>
            <w:tcW w:w="828" w:type="dxa"/>
          </w:tcPr>
          <w:p w:rsidR="00D45F65" w:rsidRPr="00F446D4" w:rsidRDefault="00D45F65" w:rsidP="00416A29">
            <w:pPr>
              <w:rPr>
                <w:b/>
                <w:sz w:val="28"/>
                <w:szCs w:val="28"/>
              </w:rPr>
            </w:pPr>
            <w:r w:rsidRPr="00F446D4">
              <w:rPr>
                <w:b/>
                <w:sz w:val="28"/>
                <w:szCs w:val="28"/>
              </w:rPr>
              <w:t>A.</w:t>
            </w:r>
          </w:p>
        </w:tc>
        <w:tc>
          <w:tcPr>
            <w:tcW w:w="6277" w:type="dxa"/>
          </w:tcPr>
          <w:p w:rsidR="00D45F65" w:rsidRPr="002C3600" w:rsidRDefault="009C6BF9" w:rsidP="00416A29">
            <w:r w:rsidRPr="001F5189">
              <w:rPr>
                <w:rFonts w:cstheme="minorHAnsi"/>
              </w:rPr>
              <w:t>International Migration</w:t>
            </w:r>
          </w:p>
        </w:tc>
        <w:tc>
          <w:tcPr>
            <w:tcW w:w="2245" w:type="dxa"/>
          </w:tcPr>
          <w:p w:rsidR="00D45F65" w:rsidRPr="00F446D4" w:rsidRDefault="00D45F65" w:rsidP="00416A29">
            <w:pPr>
              <w:rPr>
                <w:sz w:val="28"/>
                <w:szCs w:val="28"/>
              </w:rPr>
            </w:pPr>
          </w:p>
        </w:tc>
      </w:tr>
      <w:tr w:rsidR="00D45F65" w:rsidRPr="00F446D4" w:rsidTr="00416A29">
        <w:tc>
          <w:tcPr>
            <w:tcW w:w="828" w:type="dxa"/>
          </w:tcPr>
          <w:p w:rsidR="00D45F65" w:rsidRPr="00F446D4" w:rsidRDefault="00D45F65" w:rsidP="00416A29">
            <w:pPr>
              <w:rPr>
                <w:b/>
                <w:sz w:val="28"/>
                <w:szCs w:val="28"/>
              </w:rPr>
            </w:pPr>
            <w:r w:rsidRPr="00F446D4">
              <w:rPr>
                <w:b/>
                <w:sz w:val="28"/>
                <w:szCs w:val="28"/>
              </w:rPr>
              <w:t>B.</w:t>
            </w:r>
          </w:p>
        </w:tc>
        <w:tc>
          <w:tcPr>
            <w:tcW w:w="6277" w:type="dxa"/>
          </w:tcPr>
          <w:p w:rsidR="00D45F65" w:rsidRPr="002C3600" w:rsidRDefault="009C6BF9" w:rsidP="00416A29">
            <w:r w:rsidRPr="001F5189">
              <w:rPr>
                <w:rFonts w:cstheme="minorHAnsi"/>
              </w:rPr>
              <w:t>Progressive</w:t>
            </w:r>
          </w:p>
        </w:tc>
        <w:tc>
          <w:tcPr>
            <w:tcW w:w="2245" w:type="dxa"/>
          </w:tcPr>
          <w:p w:rsidR="00D45F65" w:rsidRPr="00F446D4" w:rsidRDefault="00D45F65" w:rsidP="00416A29">
            <w:pPr>
              <w:rPr>
                <w:sz w:val="28"/>
                <w:szCs w:val="28"/>
              </w:rPr>
            </w:pPr>
          </w:p>
        </w:tc>
      </w:tr>
      <w:tr w:rsidR="00D45F65" w:rsidRPr="00F446D4" w:rsidTr="00416A29">
        <w:tc>
          <w:tcPr>
            <w:tcW w:w="828" w:type="dxa"/>
          </w:tcPr>
          <w:p w:rsidR="00D45F65" w:rsidRPr="00F446D4" w:rsidRDefault="00D45F65" w:rsidP="00416A29">
            <w:pPr>
              <w:rPr>
                <w:b/>
                <w:sz w:val="28"/>
                <w:szCs w:val="28"/>
              </w:rPr>
            </w:pPr>
            <w:r w:rsidRPr="00F446D4">
              <w:rPr>
                <w:b/>
                <w:sz w:val="28"/>
                <w:szCs w:val="28"/>
              </w:rPr>
              <w:t>C.</w:t>
            </w:r>
          </w:p>
        </w:tc>
        <w:tc>
          <w:tcPr>
            <w:tcW w:w="6277" w:type="dxa"/>
          </w:tcPr>
          <w:p w:rsidR="00D45F65" w:rsidRPr="002C3600" w:rsidRDefault="009C6BF9" w:rsidP="00416A29">
            <w:r w:rsidRPr="001F5189">
              <w:rPr>
                <w:rFonts w:cstheme="minorHAnsi"/>
              </w:rPr>
              <w:t>Journal of Bible &amp; Theology</w:t>
            </w:r>
          </w:p>
        </w:tc>
        <w:tc>
          <w:tcPr>
            <w:tcW w:w="2245" w:type="dxa"/>
          </w:tcPr>
          <w:p w:rsidR="00D45F65" w:rsidRPr="00F446D4" w:rsidRDefault="00D45F65" w:rsidP="00416A29">
            <w:pPr>
              <w:rPr>
                <w:sz w:val="28"/>
                <w:szCs w:val="28"/>
              </w:rPr>
            </w:pPr>
          </w:p>
        </w:tc>
      </w:tr>
      <w:tr w:rsidR="00D45F65" w:rsidRPr="00F446D4" w:rsidTr="00416A29">
        <w:tc>
          <w:tcPr>
            <w:tcW w:w="828" w:type="dxa"/>
          </w:tcPr>
          <w:p w:rsidR="00D45F65" w:rsidRPr="00F446D4" w:rsidRDefault="00D45F65" w:rsidP="00416A29">
            <w:pPr>
              <w:rPr>
                <w:b/>
                <w:sz w:val="28"/>
                <w:szCs w:val="28"/>
              </w:rPr>
            </w:pPr>
            <w:r w:rsidRPr="00F446D4">
              <w:rPr>
                <w:b/>
                <w:sz w:val="28"/>
                <w:szCs w:val="28"/>
              </w:rPr>
              <w:t xml:space="preserve">D. </w:t>
            </w:r>
          </w:p>
        </w:tc>
        <w:tc>
          <w:tcPr>
            <w:tcW w:w="6277" w:type="dxa"/>
          </w:tcPr>
          <w:p w:rsidR="00D45F65" w:rsidRPr="002C3600" w:rsidRDefault="00E20ADC" w:rsidP="00416A29">
            <w:r>
              <w:t>Urban Affairs Review</w:t>
            </w:r>
          </w:p>
        </w:tc>
        <w:tc>
          <w:tcPr>
            <w:tcW w:w="2245" w:type="dxa"/>
          </w:tcPr>
          <w:p w:rsidR="00D45F65" w:rsidRPr="00F446D4" w:rsidRDefault="00D45F65" w:rsidP="00416A29">
            <w:pPr>
              <w:rPr>
                <w:sz w:val="28"/>
                <w:szCs w:val="28"/>
              </w:rPr>
            </w:pPr>
          </w:p>
        </w:tc>
      </w:tr>
    </w:tbl>
    <w:p w:rsidR="00F446D4" w:rsidRPr="00F446D4" w:rsidRDefault="00F446D4" w:rsidP="00F446D4">
      <w:pPr>
        <w:spacing w:after="0" w:line="240" w:lineRule="auto"/>
        <w:rPr>
          <w:sz w:val="28"/>
          <w:szCs w:val="28"/>
        </w:rPr>
      </w:pPr>
    </w:p>
    <w:p w:rsidR="0052683D" w:rsidRPr="00633BAC" w:rsidRDefault="0052683D" w:rsidP="0052683D">
      <w:pPr>
        <w:spacing w:after="0" w:line="240" w:lineRule="auto"/>
        <w:rPr>
          <w:rFonts w:cstheme="minorHAnsi"/>
        </w:rPr>
      </w:pPr>
      <w:r w:rsidRPr="00633BAC">
        <w:rPr>
          <w:rFonts w:cstheme="minorHAnsi"/>
          <w:b/>
        </w:rPr>
        <w:t>Assignment</w:t>
      </w:r>
      <w:r w:rsidRPr="00633BAC">
        <w:rPr>
          <w:rFonts w:cstheme="minorHAnsi"/>
        </w:rPr>
        <w:t>:  You are in English Composition I and will be writing a</w:t>
      </w:r>
      <w:r>
        <w:rPr>
          <w:rFonts w:cstheme="minorHAnsi"/>
        </w:rPr>
        <w:t>n ethical</w:t>
      </w:r>
      <w:r w:rsidRPr="00633BAC">
        <w:rPr>
          <w:rFonts w:cstheme="minorHAnsi"/>
        </w:rPr>
        <w:t xml:space="preserve"> </w:t>
      </w:r>
      <w:r>
        <w:rPr>
          <w:rFonts w:cstheme="minorHAnsi"/>
        </w:rPr>
        <w:t xml:space="preserve">argument regarding sanctuary cities.   Included in the ideas that you may consider would be the theology of refugees and sanctuary, development of community, defiance of laws, civil resistance, community safety, value and contribution of undocumented immigrants to society, and individual versus community “good.” </w:t>
      </w:r>
      <w:r w:rsidRPr="00633BAC">
        <w:rPr>
          <w:rFonts w:cstheme="minorHAnsi"/>
        </w:rPr>
        <w:t xml:space="preserve">    You have been given annotations for 4 sources (A-D).  Please rank them by their “most usefulness” to this assignment with 1 being the most useful and 4 being the least useful.</w:t>
      </w:r>
    </w:p>
    <w:p w:rsidR="0052683D" w:rsidRPr="00633BAC" w:rsidRDefault="0052683D" w:rsidP="0052683D">
      <w:pPr>
        <w:spacing w:after="0" w:line="240" w:lineRule="auto"/>
        <w:rPr>
          <w:rFonts w:cstheme="minorHAnsi"/>
          <w:b/>
        </w:rPr>
      </w:pPr>
    </w:p>
    <w:p w:rsidR="00FC4711" w:rsidRDefault="00FC4711" w:rsidP="00F446D4">
      <w:pPr>
        <w:spacing w:after="0" w:line="240" w:lineRule="auto"/>
        <w:rPr>
          <w:b/>
          <w:sz w:val="32"/>
          <w:szCs w:val="32"/>
        </w:rPr>
      </w:pPr>
    </w:p>
    <w:p w:rsidR="00FC4711" w:rsidRDefault="00FC4711" w:rsidP="00F446D4">
      <w:pPr>
        <w:spacing w:after="0" w:line="240" w:lineRule="auto"/>
        <w:rPr>
          <w:b/>
          <w:sz w:val="32"/>
          <w:szCs w:val="32"/>
        </w:rPr>
      </w:pPr>
    </w:p>
    <w:p w:rsidR="00B906EF" w:rsidRDefault="00B906EF" w:rsidP="00F446D4">
      <w:pPr>
        <w:spacing w:after="0" w:line="240" w:lineRule="auto"/>
        <w:rPr>
          <w:b/>
          <w:sz w:val="32"/>
          <w:szCs w:val="32"/>
        </w:rPr>
      </w:pPr>
      <w:r>
        <w:rPr>
          <w:b/>
          <w:sz w:val="32"/>
          <w:szCs w:val="32"/>
        </w:rPr>
        <w:t>Questions to consider:</w:t>
      </w:r>
    </w:p>
    <w:p w:rsidR="00B906EF" w:rsidRPr="00B906EF" w:rsidRDefault="00B906EF" w:rsidP="00B906EF">
      <w:pPr>
        <w:spacing w:after="0" w:line="240" w:lineRule="auto"/>
        <w:ind w:left="720"/>
        <w:rPr>
          <w:sz w:val="32"/>
          <w:szCs w:val="32"/>
        </w:rPr>
      </w:pPr>
      <w:r w:rsidRPr="00B906EF">
        <w:rPr>
          <w:sz w:val="32"/>
          <w:szCs w:val="32"/>
        </w:rPr>
        <w:t xml:space="preserve">What makes a source useful?  </w:t>
      </w:r>
    </w:p>
    <w:p w:rsidR="00B906EF" w:rsidRPr="00B906EF" w:rsidRDefault="00B906EF" w:rsidP="00B906EF">
      <w:pPr>
        <w:spacing w:after="0" w:line="240" w:lineRule="auto"/>
        <w:ind w:left="720"/>
        <w:rPr>
          <w:sz w:val="32"/>
          <w:szCs w:val="32"/>
        </w:rPr>
      </w:pPr>
      <w:r w:rsidRPr="00B906EF">
        <w:rPr>
          <w:sz w:val="32"/>
          <w:szCs w:val="32"/>
        </w:rPr>
        <w:t>Why is one source more useful than another?</w:t>
      </w:r>
      <w:r w:rsidR="00FC4711">
        <w:rPr>
          <w:sz w:val="32"/>
          <w:szCs w:val="32"/>
        </w:rPr>
        <w:t xml:space="preserve"> (</w:t>
      </w:r>
      <w:proofErr w:type="gramStart"/>
      <w:r w:rsidR="00FC4711">
        <w:rPr>
          <w:sz w:val="32"/>
          <w:szCs w:val="32"/>
        </w:rPr>
        <w:t>criteria</w:t>
      </w:r>
      <w:proofErr w:type="gramEnd"/>
      <w:r w:rsidR="00FC4711">
        <w:rPr>
          <w:sz w:val="32"/>
          <w:szCs w:val="32"/>
        </w:rPr>
        <w:t>)</w:t>
      </w:r>
    </w:p>
    <w:p w:rsidR="00F446D4" w:rsidRPr="00B906EF" w:rsidRDefault="00F446D4" w:rsidP="00B906EF">
      <w:pPr>
        <w:spacing w:after="0" w:line="240" w:lineRule="auto"/>
        <w:ind w:left="720"/>
        <w:rPr>
          <w:sz w:val="32"/>
          <w:szCs w:val="32"/>
        </w:rPr>
      </w:pPr>
      <w:r w:rsidRPr="00B906EF">
        <w:rPr>
          <w:sz w:val="32"/>
          <w:szCs w:val="32"/>
        </w:rPr>
        <w:t>What were your ranking criteria?</w:t>
      </w:r>
    </w:p>
    <w:p w:rsidR="008E7B54" w:rsidRDefault="008E7B54" w:rsidP="00F446D4">
      <w:pPr>
        <w:spacing w:after="0" w:line="240" w:lineRule="auto"/>
      </w:pPr>
    </w:p>
    <w:p w:rsidR="00334E27" w:rsidRDefault="00334E27">
      <w:r>
        <w:br w:type="page"/>
      </w:r>
    </w:p>
    <w:p w:rsidR="00F446D4" w:rsidRPr="00633BAC" w:rsidRDefault="00F446D4" w:rsidP="00FB3E48">
      <w:pPr>
        <w:spacing w:after="0" w:line="240" w:lineRule="auto"/>
        <w:rPr>
          <w:rFonts w:cstheme="minorHAnsi"/>
          <w:b/>
        </w:rPr>
      </w:pPr>
      <w:bookmarkStart w:id="0" w:name="_GoBack"/>
      <w:bookmarkEnd w:id="0"/>
      <w:r w:rsidRPr="00633BAC">
        <w:rPr>
          <w:rFonts w:cstheme="minorHAnsi"/>
          <w:b/>
        </w:rPr>
        <w:lastRenderedPageBreak/>
        <w:t>Source A.</w:t>
      </w:r>
    </w:p>
    <w:p w:rsidR="00F446D4" w:rsidRPr="00633BAC" w:rsidRDefault="00F446D4" w:rsidP="00DB708B">
      <w:pPr>
        <w:spacing w:after="0" w:line="240" w:lineRule="auto"/>
        <w:ind w:left="720"/>
        <w:rPr>
          <w:rFonts w:cstheme="minorHAnsi"/>
          <w:b/>
        </w:rPr>
      </w:pPr>
      <w:r w:rsidRPr="00633BAC">
        <w:rPr>
          <w:rFonts w:cstheme="minorHAnsi"/>
          <w:b/>
        </w:rPr>
        <w:t xml:space="preserve">Citation: </w:t>
      </w:r>
    </w:p>
    <w:p w:rsidR="00917B52" w:rsidRPr="001F5189" w:rsidRDefault="00917B52" w:rsidP="00917B52">
      <w:pPr>
        <w:spacing w:after="0" w:line="240" w:lineRule="auto"/>
        <w:ind w:left="1440"/>
        <w:rPr>
          <w:rFonts w:cstheme="minorHAnsi"/>
        </w:rPr>
      </w:pPr>
      <w:proofErr w:type="spellStart"/>
      <w:r w:rsidRPr="001F5189">
        <w:rPr>
          <w:rFonts w:cstheme="minorHAnsi"/>
        </w:rPr>
        <w:t>Bauder</w:t>
      </w:r>
      <w:proofErr w:type="spellEnd"/>
      <w:r w:rsidRPr="001F5189">
        <w:rPr>
          <w:rFonts w:cstheme="minorHAnsi"/>
        </w:rPr>
        <w:t xml:space="preserve">, Harald. "Sanctuary Cities: Policies and Practices in International Perspective." International </w:t>
      </w:r>
      <w:r w:rsidR="001F5189" w:rsidRPr="001F5189">
        <w:rPr>
          <w:rFonts w:cstheme="minorHAnsi"/>
        </w:rPr>
        <w:t>M</w:t>
      </w:r>
      <w:r w:rsidRPr="001F5189">
        <w:rPr>
          <w:rFonts w:cstheme="minorHAnsi"/>
        </w:rPr>
        <w:t>igration, vol. 55, no. 2, Apr. 2017, pp. 174-187. EBSCOhost, doi:10.1111/imig.12308</w:t>
      </w:r>
    </w:p>
    <w:p w:rsidR="00F446D4" w:rsidRPr="00633BAC" w:rsidRDefault="00F446D4" w:rsidP="00DB708B">
      <w:pPr>
        <w:spacing w:after="0" w:line="240" w:lineRule="auto"/>
        <w:ind w:left="720"/>
        <w:rPr>
          <w:rFonts w:cstheme="minorHAnsi"/>
          <w:b/>
        </w:rPr>
      </w:pPr>
      <w:r w:rsidRPr="00633BAC">
        <w:rPr>
          <w:rFonts w:cstheme="minorHAnsi"/>
          <w:b/>
        </w:rPr>
        <w:t xml:space="preserve">Annotation: </w:t>
      </w:r>
    </w:p>
    <w:p w:rsidR="00FB3E48" w:rsidRPr="00633BAC" w:rsidRDefault="00917B52" w:rsidP="00DB708B">
      <w:pPr>
        <w:spacing w:after="0" w:line="240" w:lineRule="auto"/>
        <w:ind w:left="1440"/>
        <w:rPr>
          <w:rFonts w:cstheme="minorHAnsi"/>
          <w:b/>
        </w:rPr>
      </w:pPr>
      <w:r>
        <w:rPr>
          <w:rStyle w:val="Strong"/>
          <w:rFonts w:ascii="Helvetica" w:hAnsi="Helvetica" w:cs="Helvetica"/>
          <w:color w:val="333333"/>
          <w:sz w:val="18"/>
          <w:szCs w:val="18"/>
          <w:bdr w:val="none" w:sz="0" w:space="0" w:color="auto" w:frame="1"/>
        </w:rPr>
        <w:t>Sanctuary</w:t>
      </w:r>
      <w:r>
        <w:rPr>
          <w:rFonts w:ascii="Helvetica" w:hAnsi="Helvetica" w:cs="Helvetica"/>
          <w:color w:val="333333"/>
          <w:sz w:val="18"/>
          <w:szCs w:val="18"/>
        </w:rPr>
        <w:t> </w:t>
      </w:r>
      <w:r>
        <w:rPr>
          <w:rStyle w:val="Strong"/>
          <w:rFonts w:ascii="Helvetica" w:hAnsi="Helvetica" w:cs="Helvetica"/>
          <w:color w:val="333333"/>
          <w:sz w:val="18"/>
          <w:szCs w:val="18"/>
          <w:bdr w:val="none" w:sz="0" w:space="0" w:color="auto" w:frame="1"/>
        </w:rPr>
        <w:t>cities</w:t>
      </w:r>
      <w:r>
        <w:rPr>
          <w:rFonts w:ascii="Helvetica" w:hAnsi="Helvetica" w:cs="Helvetica"/>
          <w:color w:val="333333"/>
          <w:sz w:val="18"/>
          <w:szCs w:val="18"/>
        </w:rPr>
        <w:t> in the USA, UK, and Canada aim to accommodate illegalized migrants and refugees in their communities. The concept of the '</w:t>
      </w:r>
      <w:r>
        <w:rPr>
          <w:rStyle w:val="Strong"/>
          <w:rFonts w:ascii="Helvetica" w:hAnsi="Helvetica" w:cs="Helvetica"/>
          <w:color w:val="333333"/>
          <w:sz w:val="18"/>
          <w:szCs w:val="18"/>
          <w:bdr w:val="none" w:sz="0" w:space="0" w:color="auto" w:frame="1"/>
        </w:rPr>
        <w:t>sanctuary</w:t>
      </w:r>
      <w:r>
        <w:rPr>
          <w:rFonts w:ascii="Helvetica" w:hAnsi="Helvetica" w:cs="Helvetica"/>
          <w:color w:val="333333"/>
          <w:sz w:val="18"/>
          <w:szCs w:val="18"/>
        </w:rPr>
        <w:t> </w:t>
      </w:r>
      <w:r>
        <w:rPr>
          <w:rStyle w:val="Strong"/>
          <w:rFonts w:ascii="Helvetica" w:hAnsi="Helvetica" w:cs="Helvetica"/>
          <w:color w:val="333333"/>
          <w:sz w:val="18"/>
          <w:szCs w:val="18"/>
          <w:bdr w:val="none" w:sz="0" w:space="0" w:color="auto" w:frame="1"/>
        </w:rPr>
        <w:t>city</w:t>
      </w:r>
      <w:r>
        <w:rPr>
          <w:rFonts w:ascii="Helvetica" w:hAnsi="Helvetica" w:cs="Helvetica"/>
          <w:color w:val="333333"/>
          <w:sz w:val="18"/>
          <w:szCs w:val="18"/>
        </w:rPr>
        <w:t xml:space="preserve">,' however, is highly ambiguous: it refers to a variety of different policies and practices, and focuses on variable populations in different national contexts. In this article, the international literature </w:t>
      </w:r>
      <w:r w:rsidR="001F5189">
        <w:rPr>
          <w:rFonts w:ascii="Helvetica" w:hAnsi="Helvetica" w:cs="Helvetica"/>
          <w:color w:val="333333"/>
          <w:sz w:val="18"/>
          <w:szCs w:val="18"/>
        </w:rPr>
        <w:t xml:space="preserve">is examined </w:t>
      </w:r>
      <w:r>
        <w:rPr>
          <w:rFonts w:ascii="Helvetica" w:hAnsi="Helvetica" w:cs="Helvetica"/>
          <w:color w:val="333333"/>
          <w:sz w:val="18"/>
          <w:szCs w:val="18"/>
        </w:rPr>
        <w:t>to show how urban </w:t>
      </w:r>
      <w:r>
        <w:rPr>
          <w:rStyle w:val="Strong"/>
          <w:rFonts w:ascii="Helvetica" w:hAnsi="Helvetica" w:cs="Helvetica"/>
          <w:color w:val="333333"/>
          <w:sz w:val="18"/>
          <w:szCs w:val="18"/>
          <w:bdr w:val="none" w:sz="0" w:space="0" w:color="auto" w:frame="1"/>
        </w:rPr>
        <w:t>sanctuary</w:t>
      </w:r>
      <w:r>
        <w:rPr>
          <w:rFonts w:ascii="Helvetica" w:hAnsi="Helvetica" w:cs="Helvetica"/>
          <w:color w:val="333333"/>
          <w:sz w:val="18"/>
          <w:szCs w:val="18"/>
        </w:rPr>
        <w:t> policies and practices differ between national contexts and assess whether there are common features of </w:t>
      </w:r>
      <w:r>
        <w:rPr>
          <w:rStyle w:val="Strong"/>
          <w:rFonts w:ascii="Helvetica" w:hAnsi="Helvetica" w:cs="Helvetica"/>
          <w:color w:val="333333"/>
          <w:sz w:val="18"/>
          <w:szCs w:val="18"/>
          <w:bdr w:val="none" w:sz="0" w:space="0" w:color="auto" w:frame="1"/>
        </w:rPr>
        <w:t>sanctuary</w:t>
      </w:r>
      <w:r>
        <w:rPr>
          <w:rFonts w:ascii="Helvetica" w:hAnsi="Helvetica" w:cs="Helvetica"/>
          <w:color w:val="333333"/>
          <w:sz w:val="18"/>
          <w:szCs w:val="18"/>
        </w:rPr>
        <w:t> </w:t>
      </w:r>
      <w:r>
        <w:rPr>
          <w:rStyle w:val="Strong"/>
          <w:rFonts w:ascii="Helvetica" w:hAnsi="Helvetica" w:cs="Helvetica"/>
          <w:color w:val="333333"/>
          <w:sz w:val="18"/>
          <w:szCs w:val="18"/>
          <w:bdr w:val="none" w:sz="0" w:space="0" w:color="auto" w:frame="1"/>
        </w:rPr>
        <w:t>cities</w:t>
      </w:r>
      <w:r>
        <w:rPr>
          <w:rFonts w:ascii="Helvetica" w:hAnsi="Helvetica" w:cs="Helvetica"/>
          <w:color w:val="333333"/>
          <w:sz w:val="18"/>
          <w:szCs w:val="18"/>
        </w:rPr>
        <w:t xml:space="preserve">. </w:t>
      </w:r>
      <w:r w:rsidR="001F5189">
        <w:rPr>
          <w:rFonts w:ascii="Helvetica" w:hAnsi="Helvetica" w:cs="Helvetica"/>
          <w:color w:val="333333"/>
          <w:sz w:val="18"/>
          <w:szCs w:val="18"/>
        </w:rPr>
        <w:t>L</w:t>
      </w:r>
      <w:r>
        <w:rPr>
          <w:rFonts w:ascii="Helvetica" w:hAnsi="Helvetica" w:cs="Helvetica"/>
          <w:color w:val="333333"/>
          <w:sz w:val="18"/>
          <w:szCs w:val="18"/>
        </w:rPr>
        <w:t>egal, discursive, identity-formative, and scalar aspects of urban </w:t>
      </w:r>
      <w:r>
        <w:rPr>
          <w:rStyle w:val="Strong"/>
          <w:rFonts w:ascii="Helvetica" w:hAnsi="Helvetica" w:cs="Helvetica"/>
          <w:color w:val="333333"/>
          <w:sz w:val="18"/>
          <w:szCs w:val="18"/>
          <w:bdr w:val="none" w:sz="0" w:space="0" w:color="auto" w:frame="1"/>
        </w:rPr>
        <w:t>sanctuary</w:t>
      </w:r>
      <w:r>
        <w:rPr>
          <w:rFonts w:ascii="Helvetica" w:hAnsi="Helvetica" w:cs="Helvetica"/>
          <w:color w:val="333333"/>
          <w:sz w:val="18"/>
          <w:szCs w:val="18"/>
        </w:rPr>
        <w:t> policies and practices</w:t>
      </w:r>
      <w:r w:rsidR="001F5189">
        <w:rPr>
          <w:rFonts w:ascii="Helvetica" w:hAnsi="Helvetica" w:cs="Helvetica"/>
          <w:color w:val="333333"/>
          <w:sz w:val="18"/>
          <w:szCs w:val="18"/>
        </w:rPr>
        <w:t xml:space="preserve"> are uncovered</w:t>
      </w:r>
      <w:proofErr w:type="gramStart"/>
      <w:r w:rsidR="001F5189">
        <w:rPr>
          <w:rFonts w:ascii="Helvetica" w:hAnsi="Helvetica" w:cs="Helvetica"/>
          <w:color w:val="333333"/>
          <w:sz w:val="18"/>
          <w:szCs w:val="18"/>
        </w:rPr>
        <w:t>.</w:t>
      </w:r>
      <w:r>
        <w:rPr>
          <w:rFonts w:ascii="Helvetica" w:hAnsi="Helvetica" w:cs="Helvetica"/>
          <w:color w:val="333333"/>
          <w:sz w:val="18"/>
          <w:szCs w:val="18"/>
        </w:rPr>
        <w:t>.</w:t>
      </w:r>
      <w:proofErr w:type="gramEnd"/>
      <w:r>
        <w:rPr>
          <w:rFonts w:ascii="Helvetica" w:hAnsi="Helvetica" w:cs="Helvetica"/>
          <w:color w:val="333333"/>
          <w:sz w:val="18"/>
          <w:szCs w:val="18"/>
        </w:rPr>
        <w:t xml:space="preserve"> These aspects assemble in ways that differ between countries. The article concludes by raising important practical and theoretical questions about urban </w:t>
      </w:r>
      <w:r>
        <w:rPr>
          <w:rStyle w:val="Strong"/>
          <w:rFonts w:ascii="Helvetica" w:hAnsi="Helvetica" w:cs="Helvetica"/>
          <w:color w:val="333333"/>
          <w:sz w:val="18"/>
          <w:szCs w:val="18"/>
          <w:bdr w:val="none" w:sz="0" w:space="0" w:color="auto" w:frame="1"/>
        </w:rPr>
        <w:t>sanctuary</w:t>
      </w:r>
      <w:r w:rsidR="003E25A6" w:rsidRPr="00633BAC">
        <w:rPr>
          <w:rFonts w:cstheme="minorHAnsi"/>
          <w:color w:val="333333"/>
        </w:rPr>
        <w:t>.</w:t>
      </w:r>
    </w:p>
    <w:p w:rsidR="00633BAC" w:rsidRDefault="00633BAC" w:rsidP="00FB3E48">
      <w:pPr>
        <w:spacing w:after="0" w:line="240" w:lineRule="auto"/>
        <w:rPr>
          <w:rFonts w:cstheme="minorHAnsi"/>
          <w:b/>
        </w:rPr>
      </w:pPr>
    </w:p>
    <w:p w:rsidR="00F446D4" w:rsidRPr="00633BAC" w:rsidRDefault="00F446D4" w:rsidP="00FB3E48">
      <w:pPr>
        <w:spacing w:after="0" w:line="240" w:lineRule="auto"/>
        <w:rPr>
          <w:rFonts w:cstheme="minorHAnsi"/>
          <w:b/>
        </w:rPr>
      </w:pPr>
      <w:r w:rsidRPr="00633BAC">
        <w:rPr>
          <w:rFonts w:cstheme="minorHAnsi"/>
          <w:b/>
        </w:rPr>
        <w:t>Source B.</w:t>
      </w:r>
    </w:p>
    <w:p w:rsidR="00F446D4" w:rsidRPr="00633BAC" w:rsidRDefault="00F446D4" w:rsidP="00DB708B">
      <w:pPr>
        <w:spacing w:after="0" w:line="240" w:lineRule="auto"/>
        <w:ind w:left="720"/>
        <w:rPr>
          <w:rFonts w:cstheme="minorHAnsi"/>
          <w:b/>
        </w:rPr>
      </w:pPr>
      <w:r w:rsidRPr="00633BAC">
        <w:rPr>
          <w:rFonts w:cstheme="minorHAnsi"/>
          <w:b/>
        </w:rPr>
        <w:t xml:space="preserve">Citation: </w:t>
      </w:r>
    </w:p>
    <w:p w:rsidR="00917B52" w:rsidRPr="001F5189" w:rsidRDefault="00917B52" w:rsidP="00917B52">
      <w:pPr>
        <w:spacing w:after="0" w:line="240" w:lineRule="auto"/>
        <w:ind w:left="1440"/>
        <w:rPr>
          <w:rFonts w:cstheme="minorHAnsi"/>
        </w:rPr>
      </w:pPr>
      <w:r w:rsidRPr="001F5189">
        <w:rPr>
          <w:rFonts w:cstheme="minorHAnsi"/>
        </w:rPr>
        <w:t xml:space="preserve">Leon, Joshua K. "Sanctuary Cities in an Age of Resistance." Progressive, vol. 81, no. 3, Mar. 2017, pp. 13-17. EBSCOhost Academic </w:t>
      </w:r>
      <w:proofErr w:type="spellStart"/>
      <w:r w:rsidRPr="001F5189">
        <w:rPr>
          <w:rFonts w:cstheme="minorHAnsi"/>
        </w:rPr>
        <w:t>SearchComplete</w:t>
      </w:r>
      <w:proofErr w:type="spellEnd"/>
    </w:p>
    <w:p w:rsidR="00F446D4" w:rsidRPr="00633BAC" w:rsidRDefault="00F446D4" w:rsidP="00DB708B">
      <w:pPr>
        <w:spacing w:after="0" w:line="240" w:lineRule="auto"/>
        <w:ind w:left="720"/>
        <w:rPr>
          <w:rFonts w:cstheme="minorHAnsi"/>
          <w:b/>
        </w:rPr>
      </w:pPr>
      <w:r w:rsidRPr="00633BAC">
        <w:rPr>
          <w:rFonts w:cstheme="minorHAnsi"/>
          <w:b/>
        </w:rPr>
        <w:t xml:space="preserve">Annotation: </w:t>
      </w:r>
    </w:p>
    <w:p w:rsidR="00633BAC" w:rsidRDefault="00917B52" w:rsidP="00917B52">
      <w:pPr>
        <w:spacing w:after="0" w:line="240" w:lineRule="auto"/>
        <w:ind w:left="1440"/>
        <w:rPr>
          <w:rFonts w:cstheme="minorHAnsi"/>
          <w:b/>
        </w:rPr>
      </w:pPr>
      <w:r>
        <w:rPr>
          <w:rFonts w:ascii="Helvetica" w:hAnsi="Helvetica" w:cs="Helvetica"/>
          <w:color w:val="333333"/>
          <w:sz w:val="18"/>
          <w:szCs w:val="18"/>
        </w:rPr>
        <w:t>The article talks about the protests happening in the U.S. </w:t>
      </w:r>
      <w:r>
        <w:rPr>
          <w:rStyle w:val="Strong"/>
          <w:rFonts w:ascii="Helvetica" w:hAnsi="Helvetica" w:cs="Helvetica"/>
          <w:color w:val="333333"/>
          <w:sz w:val="18"/>
          <w:szCs w:val="18"/>
          <w:bdr w:val="none" w:sz="0" w:space="0" w:color="auto" w:frame="1"/>
        </w:rPr>
        <w:t>sanctuary</w:t>
      </w:r>
      <w:r>
        <w:rPr>
          <w:rFonts w:ascii="Helvetica" w:hAnsi="Helvetica" w:cs="Helvetica"/>
          <w:color w:val="333333"/>
          <w:sz w:val="18"/>
          <w:szCs w:val="18"/>
        </w:rPr>
        <w:t> </w:t>
      </w:r>
      <w:r>
        <w:rPr>
          <w:rStyle w:val="Strong"/>
          <w:rFonts w:ascii="Helvetica" w:hAnsi="Helvetica" w:cs="Helvetica"/>
          <w:color w:val="333333"/>
          <w:sz w:val="18"/>
          <w:szCs w:val="18"/>
          <w:bdr w:val="none" w:sz="0" w:space="0" w:color="auto" w:frame="1"/>
        </w:rPr>
        <w:t>cities</w:t>
      </w:r>
      <w:r>
        <w:rPr>
          <w:rFonts w:ascii="Helvetica" w:hAnsi="Helvetica" w:cs="Helvetica"/>
          <w:color w:val="333333"/>
          <w:sz w:val="18"/>
          <w:szCs w:val="18"/>
        </w:rPr>
        <w:t xml:space="preserve"> against the immigrant proposals given by the president Donald Trump. Topics discussed include </w:t>
      </w:r>
      <w:proofErr w:type="gramStart"/>
      <w:r>
        <w:rPr>
          <w:rFonts w:ascii="Helvetica" w:hAnsi="Helvetica" w:cs="Helvetica"/>
          <w:color w:val="333333"/>
          <w:sz w:val="18"/>
          <w:szCs w:val="18"/>
        </w:rPr>
        <w:t>migrants</w:t>
      </w:r>
      <w:proofErr w:type="gramEnd"/>
      <w:r>
        <w:rPr>
          <w:rFonts w:ascii="Helvetica" w:hAnsi="Helvetica" w:cs="Helvetica"/>
          <w:color w:val="333333"/>
          <w:sz w:val="18"/>
          <w:szCs w:val="18"/>
        </w:rPr>
        <w:t xml:space="preserve"> day march held in Manhattan's Dag Hammarskjold Plaza in December, unresolved status of immigrants under Deferred Action for Childhood Arrivals (DACA), and local governments making policy limiting cooperation with Immigration and Customs Enforcement (ICE).</w:t>
      </w:r>
    </w:p>
    <w:p w:rsidR="00DB708B" w:rsidRPr="00633BAC" w:rsidRDefault="00DB708B" w:rsidP="00FB3E48">
      <w:pPr>
        <w:spacing w:after="0" w:line="240" w:lineRule="auto"/>
        <w:rPr>
          <w:rFonts w:cstheme="minorHAnsi"/>
          <w:b/>
        </w:rPr>
      </w:pPr>
    </w:p>
    <w:p w:rsidR="00F446D4" w:rsidRPr="00633BAC" w:rsidRDefault="00F446D4" w:rsidP="00FB3E48">
      <w:pPr>
        <w:spacing w:after="0" w:line="240" w:lineRule="auto"/>
        <w:rPr>
          <w:rFonts w:cstheme="minorHAnsi"/>
          <w:b/>
        </w:rPr>
      </w:pPr>
      <w:r w:rsidRPr="00633BAC">
        <w:rPr>
          <w:rFonts w:cstheme="minorHAnsi"/>
          <w:b/>
        </w:rPr>
        <w:t>Source C.</w:t>
      </w:r>
    </w:p>
    <w:p w:rsidR="00917B52" w:rsidRDefault="00F446D4" w:rsidP="00917B52">
      <w:pPr>
        <w:spacing w:after="0" w:line="240" w:lineRule="auto"/>
        <w:ind w:left="720"/>
        <w:rPr>
          <w:rFonts w:ascii="Helvetica" w:hAnsi="Helvetica" w:cs="Helvetica"/>
          <w:i/>
          <w:iCs/>
          <w:color w:val="333333"/>
          <w:sz w:val="18"/>
          <w:szCs w:val="18"/>
          <w:bdr w:val="none" w:sz="0" w:space="0" w:color="auto" w:frame="1"/>
          <w:shd w:val="clear" w:color="auto" w:fill="A4A3A7"/>
        </w:rPr>
      </w:pPr>
      <w:r w:rsidRPr="00633BAC">
        <w:rPr>
          <w:rFonts w:cstheme="minorHAnsi"/>
          <w:b/>
        </w:rPr>
        <w:t xml:space="preserve">Citation: </w:t>
      </w:r>
    </w:p>
    <w:p w:rsidR="00295E64" w:rsidRPr="001F5189" w:rsidRDefault="00295E64" w:rsidP="001F5189">
      <w:pPr>
        <w:spacing w:after="0" w:line="240" w:lineRule="auto"/>
        <w:ind w:left="1440"/>
        <w:rPr>
          <w:rFonts w:cstheme="minorHAnsi"/>
        </w:rPr>
      </w:pPr>
      <w:r w:rsidRPr="001F5189">
        <w:rPr>
          <w:rFonts w:cstheme="minorHAnsi"/>
        </w:rPr>
        <w:t>Beck, Chad Thomas. "Sanctuary for Immigrants and Refugees in Our Legal and Ethical Wilderness." Interpretation: A Journal of Bible &amp; Theology, vol. 72, no. 2, Apr. 2018, pp. 132-145. EBSCOhost, doi</w:t>
      </w:r>
      <w:proofErr w:type="gramStart"/>
      <w:r w:rsidRPr="001F5189">
        <w:rPr>
          <w:rFonts w:cstheme="minorHAnsi"/>
        </w:rPr>
        <w:t>:10.1177</w:t>
      </w:r>
      <w:proofErr w:type="gramEnd"/>
      <w:r w:rsidRPr="001F5189">
        <w:rPr>
          <w:rFonts w:cstheme="minorHAnsi"/>
        </w:rPr>
        <w:t>/0020964317749541.</w:t>
      </w:r>
    </w:p>
    <w:p w:rsidR="00295E64" w:rsidRDefault="001F5189" w:rsidP="001F5189">
      <w:pPr>
        <w:spacing w:after="0" w:line="240" w:lineRule="auto"/>
        <w:ind w:left="720"/>
        <w:rPr>
          <w:rFonts w:cstheme="minorHAnsi"/>
          <w:b/>
        </w:rPr>
      </w:pPr>
      <w:r>
        <w:rPr>
          <w:rFonts w:cstheme="minorHAnsi"/>
          <w:b/>
        </w:rPr>
        <w:t>Annotation</w:t>
      </w:r>
    </w:p>
    <w:p w:rsidR="00295E64" w:rsidRDefault="00295E64" w:rsidP="001F5189">
      <w:pPr>
        <w:spacing w:after="0" w:line="240" w:lineRule="auto"/>
        <w:ind w:left="1440"/>
        <w:rPr>
          <w:rFonts w:cstheme="minorHAnsi"/>
          <w:b/>
        </w:rPr>
      </w:pPr>
      <w:r>
        <w:rPr>
          <w:rFonts w:ascii="Helvetica" w:hAnsi="Helvetica" w:cs="Helvetica"/>
          <w:color w:val="333333"/>
          <w:sz w:val="18"/>
          <w:szCs w:val="18"/>
        </w:rPr>
        <w:t>Examining the “</w:t>
      </w:r>
      <w:r>
        <w:rPr>
          <w:rStyle w:val="Strong"/>
          <w:rFonts w:ascii="Helvetica" w:hAnsi="Helvetica" w:cs="Helvetica"/>
          <w:color w:val="333333"/>
          <w:sz w:val="18"/>
          <w:szCs w:val="18"/>
          <w:bdr w:val="none" w:sz="0" w:space="0" w:color="auto" w:frame="1"/>
        </w:rPr>
        <w:t>cities</w:t>
      </w:r>
      <w:r>
        <w:rPr>
          <w:rFonts w:ascii="Helvetica" w:hAnsi="Helvetica" w:cs="Helvetica"/>
          <w:color w:val="333333"/>
          <w:sz w:val="18"/>
          <w:szCs w:val="18"/>
        </w:rPr>
        <w:t> of refuge” in Numbers 35:9–28 and other key passages in the Torah, this essay argues that the social ethics in these passages point towards mercy and </w:t>
      </w:r>
      <w:r>
        <w:rPr>
          <w:rStyle w:val="Strong"/>
          <w:rFonts w:ascii="Helvetica" w:hAnsi="Helvetica" w:cs="Helvetica"/>
          <w:color w:val="333333"/>
          <w:sz w:val="18"/>
          <w:szCs w:val="18"/>
          <w:bdr w:val="none" w:sz="0" w:space="0" w:color="auto" w:frame="1"/>
        </w:rPr>
        <w:t>sanctuary</w:t>
      </w:r>
      <w:r>
        <w:rPr>
          <w:rFonts w:ascii="Helvetica" w:hAnsi="Helvetica" w:cs="Helvetica"/>
          <w:color w:val="333333"/>
          <w:sz w:val="18"/>
          <w:szCs w:val="18"/>
        </w:rPr>
        <w:t> for immigrants and refugees facing deportation. Ethical injunctions in the Hebrew Bible to welcome the resident alien and modern </w:t>
      </w:r>
      <w:r>
        <w:rPr>
          <w:rStyle w:val="Strong"/>
          <w:rFonts w:ascii="Helvetica" w:hAnsi="Helvetica" w:cs="Helvetica"/>
          <w:color w:val="333333"/>
          <w:sz w:val="18"/>
          <w:szCs w:val="18"/>
          <w:bdr w:val="none" w:sz="0" w:space="0" w:color="auto" w:frame="1"/>
        </w:rPr>
        <w:t>sanctuary</w:t>
      </w:r>
      <w:r>
        <w:rPr>
          <w:rFonts w:ascii="Helvetica" w:hAnsi="Helvetica" w:cs="Helvetica"/>
          <w:color w:val="333333"/>
          <w:sz w:val="18"/>
          <w:szCs w:val="18"/>
        </w:rPr>
        <w:t> movements are analyzed in relation to contemporary immigration issues. Like the wilderness generation of Numbers, immigrants and citizens wrestle with legal and ethical dilemmas that highlight the relevance of pivotal biblical texts for communities and churches.</w:t>
      </w:r>
    </w:p>
    <w:p w:rsidR="00295E64" w:rsidRDefault="00295E64" w:rsidP="00FB3E48">
      <w:pPr>
        <w:spacing w:after="0" w:line="240" w:lineRule="auto"/>
        <w:rPr>
          <w:rFonts w:cstheme="minorHAnsi"/>
          <w:b/>
        </w:rPr>
      </w:pPr>
    </w:p>
    <w:p w:rsidR="00F446D4" w:rsidRPr="00633BAC" w:rsidRDefault="00F446D4" w:rsidP="00FB3E48">
      <w:pPr>
        <w:spacing w:after="0" w:line="240" w:lineRule="auto"/>
        <w:rPr>
          <w:rFonts w:cstheme="minorHAnsi"/>
          <w:b/>
        </w:rPr>
      </w:pPr>
      <w:r w:rsidRPr="00633BAC">
        <w:rPr>
          <w:rFonts w:cstheme="minorHAnsi"/>
          <w:b/>
        </w:rPr>
        <w:t>Source D.</w:t>
      </w:r>
    </w:p>
    <w:p w:rsidR="00F446D4" w:rsidRPr="00633BAC" w:rsidRDefault="00F446D4" w:rsidP="00DB708B">
      <w:pPr>
        <w:spacing w:after="0" w:line="240" w:lineRule="auto"/>
        <w:ind w:left="720"/>
        <w:rPr>
          <w:rFonts w:cstheme="minorHAnsi"/>
          <w:b/>
        </w:rPr>
      </w:pPr>
      <w:r w:rsidRPr="00633BAC">
        <w:rPr>
          <w:rFonts w:cstheme="minorHAnsi"/>
          <w:b/>
        </w:rPr>
        <w:t xml:space="preserve">Citation: </w:t>
      </w:r>
    </w:p>
    <w:p w:rsidR="001F5189" w:rsidRPr="009C6BF9" w:rsidRDefault="001F5189" w:rsidP="009C6BF9">
      <w:pPr>
        <w:autoSpaceDE w:val="0"/>
        <w:autoSpaceDN w:val="0"/>
        <w:adjustRightInd w:val="0"/>
        <w:spacing w:after="0" w:line="240" w:lineRule="auto"/>
        <w:ind w:left="1440"/>
        <w:rPr>
          <w:rFonts w:cstheme="minorHAnsi"/>
          <w:bCs/>
        </w:rPr>
      </w:pPr>
      <w:r w:rsidRPr="009C6BF9">
        <w:rPr>
          <w:rFonts w:cstheme="minorHAnsi"/>
          <w:bCs/>
        </w:rPr>
        <w:t>Gonzalez,</w:t>
      </w:r>
      <w:r w:rsidR="009C6BF9" w:rsidRPr="009C6BF9">
        <w:rPr>
          <w:rFonts w:cstheme="minorHAnsi"/>
          <w:bCs/>
        </w:rPr>
        <w:t xml:space="preserve"> Benjamin</w:t>
      </w:r>
      <w:proofErr w:type="gramStart"/>
      <w:r w:rsidR="009C6BF9" w:rsidRPr="009C6BF9">
        <w:rPr>
          <w:rFonts w:cstheme="minorHAnsi"/>
          <w:bCs/>
        </w:rPr>
        <w:t xml:space="preserve">, </w:t>
      </w:r>
      <w:r w:rsidRPr="009C6BF9">
        <w:rPr>
          <w:rFonts w:cstheme="minorHAnsi"/>
          <w:bCs/>
        </w:rPr>
        <w:t xml:space="preserve"> Loren</w:t>
      </w:r>
      <w:proofErr w:type="gramEnd"/>
      <w:r w:rsidRPr="009C6BF9">
        <w:rPr>
          <w:rFonts w:cstheme="minorHAnsi"/>
          <w:bCs/>
        </w:rPr>
        <w:t xml:space="preserve"> </w:t>
      </w:r>
      <w:proofErr w:type="spellStart"/>
      <w:r w:rsidRPr="009C6BF9">
        <w:rPr>
          <w:rFonts w:cstheme="minorHAnsi"/>
          <w:bCs/>
        </w:rPr>
        <w:t>Collingwood,and</w:t>
      </w:r>
      <w:proofErr w:type="spellEnd"/>
      <w:r w:rsidRPr="009C6BF9">
        <w:rPr>
          <w:rFonts w:cstheme="minorHAnsi"/>
          <w:bCs/>
        </w:rPr>
        <w:t xml:space="preserve"> Stephen Omar El-</w:t>
      </w:r>
      <w:proofErr w:type="spellStart"/>
      <w:r w:rsidRPr="009C6BF9">
        <w:rPr>
          <w:rFonts w:cstheme="minorHAnsi"/>
          <w:bCs/>
        </w:rPr>
        <w:t>Khatib</w:t>
      </w:r>
      <w:proofErr w:type="spellEnd"/>
      <w:r w:rsidR="009C6BF9" w:rsidRPr="009C6BF9">
        <w:rPr>
          <w:rFonts w:cstheme="minorHAnsi"/>
          <w:bCs/>
        </w:rPr>
        <w:t xml:space="preserve">. </w:t>
      </w:r>
      <w:r w:rsidR="009C6BF9">
        <w:rPr>
          <w:rFonts w:cstheme="minorHAnsi"/>
          <w:bCs/>
        </w:rPr>
        <w:t>“</w:t>
      </w:r>
      <w:r w:rsidR="009C6BF9" w:rsidRPr="009C6BF9">
        <w:rPr>
          <w:rFonts w:cstheme="minorHAnsi"/>
          <w:bCs/>
        </w:rPr>
        <w:t>The Politics of Refuge: Sanctuary Cities, Crime, and Undocumented Immigration.</w:t>
      </w:r>
      <w:r w:rsidR="009C6BF9">
        <w:rPr>
          <w:rFonts w:cstheme="minorHAnsi"/>
          <w:bCs/>
        </w:rPr>
        <w:t>”</w:t>
      </w:r>
      <w:r w:rsidR="009C6BF9" w:rsidRPr="009C6BF9">
        <w:rPr>
          <w:rFonts w:cstheme="minorHAnsi"/>
          <w:bCs/>
        </w:rPr>
        <w:t xml:space="preserve">  </w:t>
      </w:r>
      <w:r w:rsidR="009C6BF9" w:rsidRPr="009C6BF9">
        <w:rPr>
          <w:rFonts w:cstheme="minorHAnsi"/>
          <w:bCs/>
          <w:i/>
        </w:rPr>
        <w:t>Urban Affairs Review</w:t>
      </w:r>
      <w:r w:rsidR="009C6BF9" w:rsidRPr="009C6BF9">
        <w:rPr>
          <w:rFonts w:cstheme="minorHAnsi"/>
          <w:bCs/>
        </w:rPr>
        <w:t xml:space="preserve">.  May 7, 2017 </w:t>
      </w:r>
      <w:hyperlink r:id="rId5" w:history="1">
        <w:r w:rsidR="009C6BF9" w:rsidRPr="009C6BF9">
          <w:rPr>
            <w:rStyle w:val="Hyperlink"/>
            <w:rFonts w:cstheme="minorHAnsi"/>
            <w:color w:val="006ACC"/>
            <w:shd w:val="clear" w:color="auto" w:fill="FFFFFF"/>
          </w:rPr>
          <w:t>https://doi-org.libproxy.unm.edu/10.1177/1078087417704974</w:t>
        </w:r>
      </w:hyperlink>
      <w:r w:rsidR="009C6BF9" w:rsidRPr="009C6BF9">
        <w:rPr>
          <w:rFonts w:cstheme="minorHAnsi"/>
          <w:bCs/>
        </w:rPr>
        <w:t xml:space="preserve"> </w:t>
      </w:r>
    </w:p>
    <w:p w:rsidR="001F5189" w:rsidRPr="009C6BF9" w:rsidRDefault="001F5189" w:rsidP="009C6BF9">
      <w:pPr>
        <w:spacing w:after="0" w:line="240" w:lineRule="auto"/>
        <w:ind w:left="2160"/>
        <w:rPr>
          <w:rFonts w:cstheme="minorHAnsi"/>
        </w:rPr>
      </w:pPr>
    </w:p>
    <w:p w:rsidR="00F446D4" w:rsidRPr="00633BAC" w:rsidRDefault="00F446D4" w:rsidP="001F5189">
      <w:pPr>
        <w:spacing w:after="0" w:line="240" w:lineRule="auto"/>
        <w:ind w:left="720"/>
        <w:rPr>
          <w:rFonts w:cstheme="minorHAnsi"/>
          <w:b/>
        </w:rPr>
      </w:pPr>
      <w:r w:rsidRPr="00633BAC">
        <w:rPr>
          <w:rFonts w:cstheme="minorHAnsi"/>
          <w:b/>
        </w:rPr>
        <w:t>Annotation</w:t>
      </w:r>
    </w:p>
    <w:p w:rsidR="001F5189" w:rsidRPr="00E20ADC" w:rsidRDefault="001F5189" w:rsidP="001F5189">
      <w:pPr>
        <w:autoSpaceDE w:val="0"/>
        <w:autoSpaceDN w:val="0"/>
        <w:adjustRightInd w:val="0"/>
        <w:spacing w:after="0" w:line="240" w:lineRule="auto"/>
        <w:ind w:left="1440"/>
        <w:rPr>
          <w:rFonts w:ascii="Helvetica" w:hAnsi="Helvetica" w:cs="Helvetica"/>
          <w:sz w:val="18"/>
          <w:szCs w:val="18"/>
        </w:rPr>
      </w:pPr>
      <w:r w:rsidRPr="00E20ADC">
        <w:rPr>
          <w:rFonts w:ascii="Helvetica" w:hAnsi="Helvetica" w:cs="Helvetica"/>
          <w:sz w:val="18"/>
          <w:szCs w:val="18"/>
        </w:rPr>
        <w:t>This article assesses the claim that sanctuary cities—defined as cities that</w:t>
      </w:r>
      <w:r w:rsidR="009C6BF9" w:rsidRPr="00E20ADC">
        <w:rPr>
          <w:rFonts w:ascii="Helvetica" w:hAnsi="Helvetica" w:cs="Helvetica"/>
          <w:sz w:val="18"/>
          <w:szCs w:val="18"/>
        </w:rPr>
        <w:t xml:space="preserve"> </w:t>
      </w:r>
      <w:r w:rsidRPr="00E20ADC">
        <w:rPr>
          <w:rFonts w:ascii="Helvetica" w:hAnsi="Helvetica" w:cs="Helvetica"/>
          <w:sz w:val="18"/>
          <w:szCs w:val="18"/>
        </w:rPr>
        <w:t>expressly forbid city officials or police departments from inquiring into an</w:t>
      </w:r>
      <w:r w:rsidR="009C6BF9" w:rsidRPr="00E20ADC">
        <w:rPr>
          <w:rFonts w:ascii="Helvetica" w:hAnsi="Helvetica" w:cs="Helvetica"/>
          <w:sz w:val="18"/>
          <w:szCs w:val="18"/>
        </w:rPr>
        <w:t xml:space="preserve"> </w:t>
      </w:r>
      <w:r w:rsidRPr="00E20ADC">
        <w:rPr>
          <w:rFonts w:ascii="Helvetica" w:hAnsi="Helvetica" w:cs="Helvetica"/>
          <w:sz w:val="18"/>
          <w:szCs w:val="18"/>
        </w:rPr>
        <w:t>individual’s immigration status—are associated with post hoc increases in</w:t>
      </w:r>
      <w:r w:rsidR="009C6BF9" w:rsidRPr="00E20ADC">
        <w:rPr>
          <w:rFonts w:ascii="Helvetica" w:hAnsi="Helvetica" w:cs="Helvetica"/>
          <w:sz w:val="18"/>
          <w:szCs w:val="18"/>
        </w:rPr>
        <w:t xml:space="preserve"> </w:t>
      </w:r>
      <w:r w:rsidRPr="00E20ADC">
        <w:rPr>
          <w:rFonts w:ascii="Helvetica" w:hAnsi="Helvetica" w:cs="Helvetica"/>
          <w:sz w:val="18"/>
          <w:szCs w:val="18"/>
        </w:rPr>
        <w:t>crime. We employ a causal inference matching strategy to compare similarly</w:t>
      </w:r>
      <w:r w:rsidR="009C6BF9" w:rsidRPr="00E20ADC">
        <w:rPr>
          <w:rFonts w:ascii="Helvetica" w:hAnsi="Helvetica" w:cs="Helvetica"/>
          <w:sz w:val="18"/>
          <w:szCs w:val="18"/>
        </w:rPr>
        <w:t xml:space="preserve"> </w:t>
      </w:r>
      <w:r w:rsidRPr="00E20ADC">
        <w:rPr>
          <w:rFonts w:ascii="Helvetica" w:hAnsi="Helvetica" w:cs="Helvetica"/>
          <w:sz w:val="18"/>
          <w:szCs w:val="18"/>
        </w:rPr>
        <w:t>situated cities where key variables are the same across the cities except the</w:t>
      </w:r>
      <w:r w:rsidR="009C6BF9" w:rsidRPr="00E20ADC">
        <w:rPr>
          <w:rFonts w:ascii="Helvetica" w:hAnsi="Helvetica" w:cs="Helvetica"/>
          <w:sz w:val="18"/>
          <w:szCs w:val="18"/>
        </w:rPr>
        <w:t xml:space="preserve"> </w:t>
      </w:r>
      <w:r w:rsidRPr="00E20ADC">
        <w:rPr>
          <w:rFonts w:ascii="Helvetica" w:hAnsi="Helvetica" w:cs="Helvetica"/>
          <w:sz w:val="18"/>
          <w:szCs w:val="18"/>
        </w:rPr>
        <w:t>sanctuary status of the city. We find no statistically discernible difference</w:t>
      </w:r>
      <w:r w:rsidR="009C6BF9" w:rsidRPr="00E20ADC">
        <w:rPr>
          <w:rFonts w:ascii="Helvetica" w:hAnsi="Helvetica" w:cs="Helvetica"/>
          <w:sz w:val="18"/>
          <w:szCs w:val="18"/>
        </w:rPr>
        <w:t xml:space="preserve"> </w:t>
      </w:r>
      <w:r w:rsidRPr="00E20ADC">
        <w:rPr>
          <w:rFonts w:ascii="Helvetica" w:hAnsi="Helvetica" w:cs="Helvetica"/>
          <w:sz w:val="18"/>
          <w:szCs w:val="18"/>
        </w:rPr>
        <w:t>in violent crime, rape, or property crime rates across the cities. Our</w:t>
      </w:r>
    </w:p>
    <w:p w:rsidR="00F446D4" w:rsidRPr="00E20ADC" w:rsidRDefault="001F5189" w:rsidP="009C6BF9">
      <w:pPr>
        <w:autoSpaceDE w:val="0"/>
        <w:autoSpaceDN w:val="0"/>
        <w:adjustRightInd w:val="0"/>
        <w:spacing w:after="0" w:line="240" w:lineRule="auto"/>
        <w:ind w:left="1440"/>
        <w:rPr>
          <w:rFonts w:ascii="Helvetica" w:hAnsi="Helvetica" w:cs="Helvetica"/>
          <w:sz w:val="18"/>
          <w:szCs w:val="18"/>
        </w:rPr>
      </w:pPr>
      <w:proofErr w:type="gramStart"/>
      <w:r w:rsidRPr="00E20ADC">
        <w:rPr>
          <w:rFonts w:ascii="Helvetica" w:hAnsi="Helvetica" w:cs="Helvetica"/>
          <w:sz w:val="18"/>
          <w:szCs w:val="18"/>
        </w:rPr>
        <w:t>findings</w:t>
      </w:r>
      <w:proofErr w:type="gramEnd"/>
      <w:r w:rsidRPr="00E20ADC">
        <w:rPr>
          <w:rFonts w:ascii="Helvetica" w:hAnsi="Helvetica" w:cs="Helvetica"/>
          <w:sz w:val="18"/>
          <w:szCs w:val="18"/>
        </w:rPr>
        <w:t xml:space="preserve"> provide evidence that sanctuary policies have no effect on crime</w:t>
      </w:r>
      <w:r w:rsidR="009C6BF9" w:rsidRPr="00E20ADC">
        <w:rPr>
          <w:rFonts w:ascii="Helvetica" w:hAnsi="Helvetica" w:cs="Helvetica"/>
          <w:sz w:val="18"/>
          <w:szCs w:val="18"/>
        </w:rPr>
        <w:t xml:space="preserve"> </w:t>
      </w:r>
      <w:r w:rsidRPr="00E20ADC">
        <w:rPr>
          <w:rFonts w:ascii="Helvetica" w:hAnsi="Helvetica" w:cs="Helvetica"/>
          <w:sz w:val="18"/>
          <w:szCs w:val="18"/>
        </w:rPr>
        <w:t>rates, despite narratives to the contrary. The potential benefits of sanctuary</w:t>
      </w:r>
      <w:r w:rsidR="009C6BF9" w:rsidRPr="00E20ADC">
        <w:rPr>
          <w:rFonts w:ascii="Helvetica" w:hAnsi="Helvetica" w:cs="Helvetica"/>
          <w:sz w:val="18"/>
          <w:szCs w:val="18"/>
        </w:rPr>
        <w:t xml:space="preserve"> </w:t>
      </w:r>
      <w:r w:rsidRPr="00E20ADC">
        <w:rPr>
          <w:rFonts w:ascii="Helvetica" w:hAnsi="Helvetica" w:cs="Helvetica"/>
          <w:sz w:val="18"/>
          <w:szCs w:val="18"/>
        </w:rPr>
        <w:t>cities, such as better incorporation of the undocumented community and</w:t>
      </w:r>
      <w:r w:rsidR="009C6BF9" w:rsidRPr="00E20ADC">
        <w:rPr>
          <w:rFonts w:ascii="Helvetica" w:hAnsi="Helvetica" w:cs="Helvetica"/>
          <w:sz w:val="18"/>
          <w:szCs w:val="18"/>
        </w:rPr>
        <w:t xml:space="preserve"> </w:t>
      </w:r>
      <w:r w:rsidRPr="00E20ADC">
        <w:rPr>
          <w:rFonts w:ascii="Helvetica" w:hAnsi="Helvetica" w:cs="Helvetica"/>
          <w:sz w:val="18"/>
          <w:szCs w:val="18"/>
        </w:rPr>
        <w:t>cooperation with police, thus have little cost for the cities in question in terms of crime</w:t>
      </w:r>
    </w:p>
    <w:p w:rsidR="00F446D4" w:rsidRPr="00E20ADC" w:rsidRDefault="00F446D4" w:rsidP="00FB3E48">
      <w:pPr>
        <w:spacing w:after="0" w:line="240" w:lineRule="auto"/>
        <w:rPr>
          <w:rFonts w:ascii="Helvetica" w:hAnsi="Helvetica" w:cs="Helvetica"/>
          <w:b/>
          <w:sz w:val="18"/>
          <w:szCs w:val="18"/>
        </w:rPr>
      </w:pPr>
    </w:p>
    <w:p w:rsidR="00F446D4" w:rsidRPr="00633BAC" w:rsidRDefault="00F446D4" w:rsidP="00FB3E48">
      <w:pPr>
        <w:spacing w:after="0" w:line="240" w:lineRule="auto"/>
        <w:rPr>
          <w:rFonts w:cstheme="minorHAnsi"/>
        </w:rPr>
      </w:pPr>
    </w:p>
    <w:sectPr w:rsidR="00F446D4" w:rsidRPr="00633BAC" w:rsidSect="008E7B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734"/>
    <w:multiLevelType w:val="hybridMultilevel"/>
    <w:tmpl w:val="AAA64578"/>
    <w:lvl w:ilvl="0" w:tplc="A40629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51D38"/>
    <w:multiLevelType w:val="hybridMultilevel"/>
    <w:tmpl w:val="F24E4E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A2BA5"/>
    <w:multiLevelType w:val="hybridMultilevel"/>
    <w:tmpl w:val="06AE9974"/>
    <w:lvl w:ilvl="0" w:tplc="C22E1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D4"/>
    <w:rsid w:val="000907B5"/>
    <w:rsid w:val="001516BB"/>
    <w:rsid w:val="001F5189"/>
    <w:rsid w:val="00295E64"/>
    <w:rsid w:val="002C3600"/>
    <w:rsid w:val="00334E27"/>
    <w:rsid w:val="003C20DD"/>
    <w:rsid w:val="003E25A6"/>
    <w:rsid w:val="0052683D"/>
    <w:rsid w:val="005501CC"/>
    <w:rsid w:val="00633BAC"/>
    <w:rsid w:val="008E7B54"/>
    <w:rsid w:val="00917B52"/>
    <w:rsid w:val="009C6BF9"/>
    <w:rsid w:val="00B6522D"/>
    <w:rsid w:val="00B906EF"/>
    <w:rsid w:val="00BE3BE6"/>
    <w:rsid w:val="00C5032A"/>
    <w:rsid w:val="00C85ED8"/>
    <w:rsid w:val="00C90424"/>
    <w:rsid w:val="00D20776"/>
    <w:rsid w:val="00D44EBC"/>
    <w:rsid w:val="00D45F65"/>
    <w:rsid w:val="00DB708B"/>
    <w:rsid w:val="00E20ADC"/>
    <w:rsid w:val="00E43035"/>
    <w:rsid w:val="00E748C4"/>
    <w:rsid w:val="00E806DF"/>
    <w:rsid w:val="00F446D4"/>
    <w:rsid w:val="00FB3E48"/>
    <w:rsid w:val="00FC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EB7A"/>
  <w15:chartTrackingRefBased/>
  <w15:docId w15:val="{3FE78F5B-3F10-4440-B4FB-37BB851B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52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652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6D4"/>
    <w:pPr>
      <w:ind w:left="720"/>
      <w:contextualSpacing/>
    </w:pPr>
  </w:style>
  <w:style w:type="table" w:styleId="TableGrid">
    <w:name w:val="Table Grid"/>
    <w:basedOn w:val="TableNormal"/>
    <w:uiPriority w:val="39"/>
    <w:rsid w:val="00F44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46D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F446D4"/>
    <w:rPr>
      <w:color w:val="0000FF"/>
      <w:u w:val="single"/>
    </w:rPr>
  </w:style>
  <w:style w:type="character" w:styleId="Strong">
    <w:name w:val="Strong"/>
    <w:basedOn w:val="DefaultParagraphFont"/>
    <w:uiPriority w:val="22"/>
    <w:qFormat/>
    <w:rsid w:val="003E25A6"/>
    <w:rPr>
      <w:b/>
      <w:bCs/>
    </w:rPr>
  </w:style>
  <w:style w:type="character" w:customStyle="1" w:styleId="Heading1Char">
    <w:name w:val="Heading 1 Char"/>
    <w:basedOn w:val="DefaultParagraphFont"/>
    <w:link w:val="Heading1"/>
    <w:uiPriority w:val="9"/>
    <w:rsid w:val="00B6522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6522D"/>
    <w:rPr>
      <w:rFonts w:ascii="Times New Roman" w:eastAsia="Times New Roman" w:hAnsi="Times New Roman" w:cs="Times New Roman"/>
      <w:b/>
      <w:bCs/>
      <w:sz w:val="24"/>
      <w:szCs w:val="24"/>
    </w:rPr>
  </w:style>
  <w:style w:type="character" w:customStyle="1" w:styleId="byline">
    <w:name w:val="byline"/>
    <w:basedOn w:val="DefaultParagraphFont"/>
    <w:rsid w:val="00B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3954">
      <w:bodyDiv w:val="1"/>
      <w:marLeft w:val="0"/>
      <w:marRight w:val="0"/>
      <w:marTop w:val="0"/>
      <w:marBottom w:val="0"/>
      <w:divBdr>
        <w:top w:val="none" w:sz="0" w:space="0" w:color="auto"/>
        <w:left w:val="none" w:sz="0" w:space="0" w:color="auto"/>
        <w:bottom w:val="none" w:sz="0" w:space="0" w:color="auto"/>
        <w:right w:val="none" w:sz="0" w:space="0" w:color="auto"/>
      </w:divBdr>
    </w:div>
    <w:div w:id="554775932">
      <w:bodyDiv w:val="1"/>
      <w:marLeft w:val="0"/>
      <w:marRight w:val="0"/>
      <w:marTop w:val="0"/>
      <w:marBottom w:val="0"/>
      <w:divBdr>
        <w:top w:val="none" w:sz="0" w:space="0" w:color="auto"/>
        <w:left w:val="none" w:sz="0" w:space="0" w:color="auto"/>
        <w:bottom w:val="none" w:sz="0" w:space="0" w:color="auto"/>
        <w:right w:val="none" w:sz="0" w:space="0" w:color="auto"/>
      </w:divBdr>
      <w:divsChild>
        <w:div w:id="127552385">
          <w:marLeft w:val="0"/>
          <w:marRight w:val="0"/>
          <w:marTop w:val="0"/>
          <w:marBottom w:val="0"/>
          <w:divBdr>
            <w:top w:val="none" w:sz="0" w:space="0" w:color="auto"/>
            <w:left w:val="none" w:sz="0" w:space="0" w:color="auto"/>
            <w:bottom w:val="none" w:sz="0" w:space="0" w:color="auto"/>
            <w:right w:val="none" w:sz="0" w:space="0" w:color="auto"/>
          </w:divBdr>
        </w:div>
      </w:divsChild>
    </w:div>
    <w:div w:id="8509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libproxy.unm.edu/10.1177/10780874177049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Weller</dc:creator>
  <cp:keywords/>
  <dc:description/>
  <cp:lastModifiedBy>LeAnn Weller</cp:lastModifiedBy>
  <cp:revision>3</cp:revision>
  <dcterms:created xsi:type="dcterms:W3CDTF">2018-04-24T00:35:00Z</dcterms:created>
  <dcterms:modified xsi:type="dcterms:W3CDTF">2018-04-24T00:36:00Z</dcterms:modified>
</cp:coreProperties>
</file>